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ANR - Modèle de PGD (français)</w:t>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2"/>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2"/>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2"/>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2"/>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Indiquer quelles métadonnées seront fournies pour aider à la recherche et à l’identification des données.</w:t>
      </w:r>
    </w:p>
    <w:p xmlns:w="http://schemas.openxmlformats.org/wordprocessingml/2006/main">
      <w:pPr>
        <w:pStyle w:val="ListParagraph"/>
        <w:numPr>
          <w:ilvl w:val="0"/>
          <w:numId w:val="3"/>
        </w:numPr>
      </w:pPr>
      <w:r>
        <w:t xml:space="preserve">Indiquer quels standards de métadonnées seront utilisés (par exemple DDI, TEI, EML, MARC, CMDI).</w:t>
      </w:r>
    </w:p>
    <w:p xmlns:w="http://schemas.openxmlformats.org/wordprocessingml/2006/main">
      <w:pPr>
        <w:pStyle w:val="ListParagraph"/>
        <w:numPr>
          <w:ilvl w:val="0"/>
          <w:numId w:val="3"/>
        </w:numPr>
      </w:pPr>
      <w:r>
        <w:t xml:space="preserve">Utiliser les standards de métadonnées des communautés scientifiques lorsque ceux-ci existent.</w:t>
      </w:r>
    </w:p>
    <w:p xmlns:w="http://schemas.openxmlformats.org/wordprocessingml/2006/main">
      <w:pPr>
        <w:pStyle w:val="ListParagraph"/>
        <w:numPr>
          <w:ilvl w:val="0"/>
          <w:numId w:val="3"/>
        </w:numPr>
      </w:pPr>
      <w:r>
        <w:t xml:space="preserve">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3"/>
        </w:numPr>
      </w:pPr>
      <w:r>
        <w:t xml:space="preserve">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3"/>
        </w:numPr>
      </w:pPr>
      <w:r>
        <w:t xml:space="preserve">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5"/>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Expliquer comment les données seront récupérées en cas d'incident.</w:t>
      </w:r>
    </w:p>
    <w:p xmlns:w="http://schemas.openxmlformats.org/wordprocessingml/2006/main">
      <w:pPr>
        <w:pStyle w:val="ListParagraph"/>
        <w:numPr>
          <w:ilvl w:val="0"/>
          <w:numId w:val="6"/>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6"/>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6"/>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7"/>
        </w:numPr>
      </w:pPr>
      <w:r>
        <w:t xml:space="preserve">Obtenir un consentement éclairé pour la préservation et/ou le partage de données personnelles.</w:t>
      </w:r>
    </w:p>
    <w:p xmlns:w="http://schemas.openxmlformats.org/wordprocessingml/2006/main">
      <w:pPr>
        <w:pStyle w:val="ListParagraph"/>
        <w:numPr>
          <w:ilvl w:val="0"/>
          <w:numId w:val="7"/>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7"/>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7"/>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7"/>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Expliquer qui sera le propriétaire des données, c'est-à-dire qui aura le droit d’en contrôler l’accès :
</w:t>
      </w:r>
    </w:p>
    <w:p xmlns:w="http://schemas.openxmlformats.org/wordprocessingml/2006/main">
      <w:pPr>
        <w:pStyle w:val="ListParagraph"/>
        <w:numPr>
          <w:ilvl w:val="1"/>
          <w:numId w:val="8"/>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8"/>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8"/>
        </w:numPr>
      </w:pPr>
      <w:r>
        <w:t xml:space="preserve">Indiquer si les droits de propriété intellectuelle (par exemple la directive bases de données, droits </w:t>
      </w:r>
      <w:r>
        <w:rPr>
          <w:i/>
        </w:rPr>
        <w:t xml:space="preserve">sui generis</w:t>
      </w:r>
      <w:r>
        <w:t xml:space="preserve">) sont affectés. Dans l'affirmative, expliquer lesquels et comment cela sera traité.</w:t>
      </w:r>
    </w:p>
    <w:p xmlns:w="http://schemas.openxmlformats.org/wordprocessingml/2006/main">
      <w:pPr>
        <w:pStyle w:val="ListParagraph"/>
        <w:numPr>
          <w:ilvl w:val="0"/>
          <w:numId w:val="8"/>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9"/>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10"/>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10"/>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10"/>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11"/>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11"/>
        </w:numPr>
      </w:pPr>
      <w:r>
        <w:t xml:space="preserve">Décrire les utilisations (et/ou les utilisateurs) prévisibles des données dans un cadre de recherche.</w:t>
      </w:r>
    </w:p>
    <w:p xmlns:w="http://schemas.openxmlformats.org/wordprocessingml/2006/main">
      <w:pPr>
        <w:pStyle w:val="ListParagraph"/>
        <w:numPr>
          <w:ilvl w:val="0"/>
          <w:numId w:val="11"/>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12"/>
        </w:numPr>
      </w:pPr>
      <w:r>
        <w:t xml:space="preserve">Indiquer si les données seront partagées via un entrepôt, si les demandes d’accès seront traitées en direct, ou si un autre mécanisme sera 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13"/>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14"/>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14"/>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14"/>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15"/>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15"/>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